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8A65" w14:textId="77777777" w:rsidR="005D2147" w:rsidRDefault="005D2147" w:rsidP="00CC27E3">
      <w:pPr>
        <w:jc w:val="both"/>
        <w:rPr>
          <w:rFonts w:cs="Arial"/>
          <w:b/>
          <w:bCs/>
          <w:sz w:val="24"/>
          <w:szCs w:val="24"/>
        </w:rPr>
      </w:pPr>
    </w:p>
    <w:p w14:paraId="5DB12C57" w14:textId="77777777" w:rsidR="00290EEB" w:rsidRPr="00290EEB" w:rsidRDefault="00290EEB" w:rsidP="00290EEB">
      <w:pPr>
        <w:rPr>
          <w:sz w:val="24"/>
          <w:szCs w:val="24"/>
        </w:rPr>
      </w:pPr>
      <w:r w:rsidRPr="00290EEB">
        <w:rPr>
          <w:sz w:val="24"/>
          <w:szCs w:val="24"/>
        </w:rPr>
        <w:t>ERAMAJA ja RIDAELAMU* miinimumnõuded</w:t>
      </w:r>
    </w:p>
    <w:tbl>
      <w:tblPr>
        <w:tblStyle w:val="Kontuurtabel"/>
        <w:tblpPr w:leftFromText="141" w:rightFromText="141" w:vertAnchor="text" w:tblpX="-147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2552"/>
        <w:gridCol w:w="8363"/>
      </w:tblGrid>
      <w:tr w:rsidR="005D2147" w:rsidRPr="005D2147" w14:paraId="347110C2" w14:textId="77777777" w:rsidTr="005D2147">
        <w:trPr>
          <w:trHeight w:val="841"/>
        </w:trPr>
        <w:tc>
          <w:tcPr>
            <w:tcW w:w="1696" w:type="dxa"/>
            <w:shd w:val="clear" w:color="auto" w:fill="F2F2F2" w:themeFill="background1" w:themeFillShade="F2"/>
          </w:tcPr>
          <w:p w14:paraId="1D10341B" w14:textId="77777777" w:rsidR="005E10CA" w:rsidRPr="005D2147" w:rsidRDefault="005E10CA" w:rsidP="00EA2FCD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Jäätmeliik</w:t>
            </w:r>
          </w:p>
          <w:p w14:paraId="11ABB605" w14:textId="77777777" w:rsidR="005E10CA" w:rsidRPr="005D2147" w:rsidRDefault="005E10CA" w:rsidP="00EA2F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37298DD" w14:textId="77777777" w:rsidR="005E10CA" w:rsidRPr="005D2147" w:rsidRDefault="005E10CA" w:rsidP="00EA2FCD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Jäätmete üleandmise valikud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5F0EDB" w14:textId="77777777" w:rsidR="005E10CA" w:rsidRPr="005D2147" w:rsidRDefault="005E10CA" w:rsidP="00EA2FCD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Tühjendamise sagedus</w:t>
            </w:r>
          </w:p>
          <w:p w14:paraId="7FC9C6B7" w14:textId="77777777" w:rsidR="005E10CA" w:rsidRPr="005D2147" w:rsidRDefault="005E10CA" w:rsidP="00EA2F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AD94E8B" w14:textId="77777777" w:rsidR="005E10CA" w:rsidRPr="005D2147" w:rsidRDefault="005E10CA" w:rsidP="00EA2FCD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Teenuse hind (koos km-</w:t>
            </w:r>
            <w:proofErr w:type="spellStart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ga</w:t>
            </w:r>
            <w:proofErr w:type="spellEnd"/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7DA71245" w14:textId="77777777" w:rsidR="005E10CA" w:rsidRPr="005D2147" w:rsidRDefault="005E10CA" w:rsidP="00EA2F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0D74D0F0" w14:textId="77777777" w:rsidR="005E10CA" w:rsidRPr="005D2147" w:rsidRDefault="005E10CA" w:rsidP="00EA2FCD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Lisainfo</w:t>
            </w:r>
          </w:p>
          <w:p w14:paraId="55804201" w14:textId="77777777" w:rsidR="005E10CA" w:rsidRPr="005D2147" w:rsidRDefault="005E10CA" w:rsidP="00EA2F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5D2147" w:rsidRPr="005D2147" w14:paraId="369F64D7" w14:textId="77777777" w:rsidTr="005D2147">
        <w:tc>
          <w:tcPr>
            <w:tcW w:w="1696" w:type="dxa"/>
            <w:vAlign w:val="center"/>
          </w:tcPr>
          <w:p w14:paraId="709CA7A2" w14:textId="4A7D1B2F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SEG</w:t>
            </w:r>
            <w:r w:rsidR="005D2147">
              <w:rPr>
                <w:rFonts w:cs="Times New Roman"/>
                <w:color w:val="000000"/>
                <w:sz w:val="18"/>
                <w:szCs w:val="18"/>
              </w:rPr>
              <w:t>A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-OLMEJÄÄTMED</w:t>
            </w:r>
          </w:p>
          <w:p w14:paraId="44D7E4CB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710BCD" w14:textId="77777777" w:rsidR="005E10CA" w:rsidRPr="005D2147" w:rsidRDefault="005E10CA" w:rsidP="005D2147">
            <w:pPr>
              <w:spacing w:line="276" w:lineRule="auto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70DE78F5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1: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üleandmine  kogumismahutiga 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üleandmine </w:t>
            </w:r>
          </w:p>
          <w:p w14:paraId="21D345C4" w14:textId="6BDD43FF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kuni </w:t>
            </w:r>
            <w:r w:rsidR="00EA2FCD" w:rsidRPr="005D2147">
              <w:rPr>
                <w:rFonts w:cs="Times New Roman"/>
                <w:color w:val="000000"/>
                <w:sz w:val="18"/>
                <w:szCs w:val="18"/>
              </w:rPr>
              <w:t>30L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kogumiskotiga</w:t>
            </w:r>
          </w:p>
          <w:p w14:paraId="4128464C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1DA022" w14:textId="4016A289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vähemalt üks kord 28 või 84 päeva tagant</w:t>
            </w:r>
          </w:p>
          <w:p w14:paraId="28951FFB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08983F1" w14:textId="77777777" w:rsidR="005E10CA" w:rsidRPr="005D2147" w:rsidRDefault="005E10CA" w:rsidP="00442B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45593FF5" w14:textId="0E7262C8" w:rsidR="00EA2FCD" w:rsidRPr="005D2147" w:rsidRDefault="00EA2FCD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Kuni 0.03 jäätmekott -0,76€</w:t>
            </w:r>
          </w:p>
          <w:p w14:paraId="2E2E8C40" w14:textId="17964106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80L – 2,03€</w:t>
            </w:r>
          </w:p>
          <w:p w14:paraId="5633B316" w14:textId="2BD10D0A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140L   –3,55€</w:t>
            </w:r>
          </w:p>
          <w:p w14:paraId="3BA5C04B" w14:textId="63C73E29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240L – 6,09€</w:t>
            </w:r>
          </w:p>
          <w:p w14:paraId="7A23F867" w14:textId="1F9DC79B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7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0L – 9,3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8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€</w:t>
            </w:r>
          </w:p>
          <w:p w14:paraId="27E2A964" w14:textId="2481E2A7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660L – 16,74€</w:t>
            </w:r>
          </w:p>
          <w:p w14:paraId="27FB3F83" w14:textId="743C48A4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800L – 20,29€</w:t>
            </w:r>
          </w:p>
          <w:p w14:paraId="5020A6CC" w14:textId="07E519AA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1100L – 27,90€</w:t>
            </w:r>
          </w:p>
          <w:p w14:paraId="722FF865" w14:textId="2C7A93A4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1500L – 38,05€ </w:t>
            </w:r>
          </w:p>
          <w:p w14:paraId="28D42C14" w14:textId="5588085E" w:rsidR="00EA2FCD" w:rsidRPr="005D2147" w:rsidRDefault="00EA2FCD" w:rsidP="00EA2FC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 xml:space="preserve"> 2500L – 63,42€</w:t>
            </w:r>
          </w:p>
          <w:p w14:paraId="76978B77" w14:textId="439C23DB" w:rsidR="005E10CA" w:rsidRPr="005D2147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  <w:r w:rsidR="00EA2FCD" w:rsidRPr="005D2147">
              <w:rPr>
                <w:rFonts w:cs="Times New Roman"/>
                <w:color w:val="000000"/>
                <w:sz w:val="18"/>
                <w:szCs w:val="18"/>
              </w:rPr>
              <w:t xml:space="preserve">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4500L – 114,14€</w:t>
            </w:r>
          </w:p>
        </w:tc>
        <w:tc>
          <w:tcPr>
            <w:tcW w:w="8363" w:type="dxa"/>
            <w:vAlign w:val="center"/>
          </w:tcPr>
          <w:p w14:paraId="2ECE490C" w14:textId="77777777" w:rsidR="005E10CA" w:rsidRPr="005D2147" w:rsidRDefault="005E10CA" w:rsidP="00EA2FCD">
            <w:pPr>
              <w:pStyle w:val="Loendilik"/>
              <w:numPr>
                <w:ilvl w:val="0"/>
                <w:numId w:val="19"/>
              </w:numPr>
              <w:tabs>
                <w:tab w:val="left" w:pos="160"/>
              </w:tabs>
              <w:ind w:left="-11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Segaolmejäätmete üleandmine jäätmevedajale on kohustuslik kõikidele jäätmevaldajatele.</w:t>
            </w:r>
          </w:p>
          <w:p w14:paraId="3AD50BBB" w14:textId="77777777" w:rsidR="005E10CA" w:rsidRPr="005D2147" w:rsidRDefault="005E10CA" w:rsidP="00EA2FCD">
            <w:pPr>
              <w:pStyle w:val="Loendilik"/>
              <w:numPr>
                <w:ilvl w:val="0"/>
                <w:numId w:val="19"/>
              </w:numPr>
              <w:tabs>
                <w:tab w:val="left" w:pos="160"/>
              </w:tabs>
              <w:ind w:left="-11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Konteineri minimaalne tühjendamissagedus üks kord nelja nädala jooksul. Juhul kui </w:t>
            </w:r>
            <w:proofErr w:type="spellStart"/>
            <w:r w:rsidRPr="005D2147">
              <w:rPr>
                <w:rFonts w:cs="Times New Roman"/>
                <w:sz w:val="18"/>
                <w:szCs w:val="18"/>
              </w:rPr>
              <w:t>biojäätmete</w:t>
            </w:r>
            <w:proofErr w:type="spellEnd"/>
            <w:r w:rsidRPr="005D2147">
              <w:rPr>
                <w:rFonts w:cs="Times New Roman"/>
                <w:sz w:val="18"/>
                <w:szCs w:val="18"/>
              </w:rPr>
              <w:t xml:space="preserve"> kompostimine on jäätmetekke kohas tagatud, võib jäätmeid üle anda üks kord kaheksa nädala jooksul.</w:t>
            </w:r>
          </w:p>
          <w:p w14:paraId="1A2FCB85" w14:textId="77777777" w:rsidR="005E10CA" w:rsidRPr="005D2147" w:rsidRDefault="005E10CA" w:rsidP="00EA2FCD">
            <w:pPr>
              <w:pStyle w:val="Loendilik"/>
              <w:numPr>
                <w:ilvl w:val="0"/>
                <w:numId w:val="19"/>
              </w:numPr>
              <w:tabs>
                <w:tab w:val="left" w:pos="160"/>
              </w:tabs>
              <w:ind w:left="-11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84 päeva graafik on lubatud kasutada tiheasustusalal, kui jäätmetekkekohal toimub köögi- ja sööklajäätmete kompostimine või antakse köögi- ja sööklajäätmed üle jäätmevedajale.</w:t>
            </w:r>
          </w:p>
        </w:tc>
      </w:tr>
      <w:tr w:rsidR="005D2147" w:rsidRPr="005D2147" w14:paraId="6763FB12" w14:textId="77777777" w:rsidTr="005D2147">
        <w:tc>
          <w:tcPr>
            <w:tcW w:w="1696" w:type="dxa"/>
            <w:vAlign w:val="center"/>
          </w:tcPr>
          <w:p w14:paraId="1BEC5670" w14:textId="09D699EB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BIO</w:t>
            </w:r>
            <w:r w:rsidR="00F833EC" w:rsidRPr="005D2147">
              <w:rPr>
                <w:rFonts w:cs="Times New Roman"/>
                <w:color w:val="000000"/>
                <w:sz w:val="18"/>
                <w:szCs w:val="18"/>
              </w:rPr>
              <w:t>LAGUNEVAD</w:t>
            </w:r>
          </w:p>
          <w:p w14:paraId="54BCC15B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KÖÖGI- JA SÖÖKLA-</w:t>
            </w:r>
          </w:p>
          <w:p w14:paraId="6852A283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JÄÄTMED</w:t>
            </w:r>
          </w:p>
        </w:tc>
        <w:tc>
          <w:tcPr>
            <w:tcW w:w="1843" w:type="dxa"/>
            <w:vAlign w:val="center"/>
          </w:tcPr>
          <w:p w14:paraId="45316F5B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1: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165523">
              <w:rPr>
                <w:rFonts w:cs="Times New Roman"/>
                <w:sz w:val="18"/>
                <w:szCs w:val="18"/>
              </w:rPr>
              <w:t xml:space="preserve">kodune kompostimine             </w:t>
            </w:r>
          </w:p>
          <w:p w14:paraId="1489C1E4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üleandmine kogumismahutiga</w:t>
            </w:r>
          </w:p>
          <w:p w14:paraId="03DFF46A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B03CE8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14 päeva tagant </w:t>
            </w:r>
          </w:p>
          <w:p w14:paraId="211D652D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FBF4177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Perioodil </w:t>
            </w:r>
          </w:p>
          <w:p w14:paraId="673F756E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01.10 – 30.04 </w:t>
            </w:r>
          </w:p>
          <w:p w14:paraId="0888D8E7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on lubatud kasutada tühjendussagedust 28 päeva tagant (teavitada jäätmevedajat).</w:t>
            </w:r>
          </w:p>
        </w:tc>
        <w:tc>
          <w:tcPr>
            <w:tcW w:w="2552" w:type="dxa"/>
            <w:vAlign w:val="center"/>
          </w:tcPr>
          <w:p w14:paraId="04F5C487" w14:textId="72646696" w:rsidR="005E10CA" w:rsidRPr="005D2147" w:rsidRDefault="00D1478C" w:rsidP="005D2147">
            <w:pPr>
              <w:spacing w:before="240"/>
              <w:ind w:left="-108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</w:t>
            </w:r>
            <w:r w:rsidR="00791B25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80L –   1,01€</w:t>
            </w:r>
          </w:p>
          <w:p w14:paraId="638121C5" w14:textId="7D47B331" w:rsidR="005E10CA" w:rsidRPr="005D2147" w:rsidRDefault="00D1478C" w:rsidP="005D2147">
            <w:pPr>
              <w:ind w:left="-249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140L – 1,78€</w:t>
            </w:r>
          </w:p>
          <w:p w14:paraId="6BF95B47" w14:textId="57C8D25E" w:rsidR="005E10CA" w:rsidRPr="005D2147" w:rsidRDefault="00D1478C" w:rsidP="005D2147">
            <w:pPr>
              <w:ind w:left="-249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240L – 3,04€</w:t>
            </w:r>
          </w:p>
          <w:p w14:paraId="582FB564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394EAE3F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tabs>
                <w:tab w:val="left" w:pos="340"/>
              </w:tabs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Köögi- ja sööklajäätmete üleandmine jäätmevedajale on kohustuslik kõikidele jäätmevaldajatele.</w:t>
            </w:r>
          </w:p>
          <w:p w14:paraId="1A7F7677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Võimalus kasutada kohtkompostimist, sellest tuleb teavitada linnavalitsust (info linna kodulehel).</w:t>
            </w:r>
          </w:p>
          <w:p w14:paraId="26F062F6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Tiheasustusalal tuleb köögi- ja sööklajäätmeid kompostida nõuetekohase kinnise kompostriga. </w:t>
            </w: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Hajaasustusalal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võib kasutada lahtist auna, nii et see ei soodustaks kahjurite levikut ega tekitaks muid häiringuid. </w:t>
            </w:r>
          </w:p>
          <w:p w14:paraId="6F1145E4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Biojäätmete mahuti vooderduskotina võib kasutada nii biolagunevat kotti, kui tavalist plastikaatkotti, olenemata selle värvusest (saab tellida jäätmevedajalt teenusena). </w:t>
            </w:r>
          </w:p>
          <w:p w14:paraId="04B32375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Jäätmed panna mahutisse lahtiselt (kui mahutis on vooderduskott), pakitult paberist kottidesse või biolagunevatesse kottidesse.</w:t>
            </w:r>
          </w:p>
        </w:tc>
      </w:tr>
      <w:tr w:rsidR="005D2147" w:rsidRPr="005D2147" w14:paraId="799A1679" w14:textId="77777777" w:rsidTr="005D2147">
        <w:tc>
          <w:tcPr>
            <w:tcW w:w="1696" w:type="dxa"/>
            <w:vAlign w:val="center"/>
          </w:tcPr>
          <w:p w14:paraId="01A3CAE4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SEGAPAKEND</w:t>
            </w:r>
          </w:p>
          <w:p w14:paraId="03AB4F25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07E867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üleandmine kogumismahutiga                 </w:t>
            </w:r>
          </w:p>
          <w:p w14:paraId="706B91F6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  üleandmine kuni 150L kogumiskotiga </w:t>
            </w:r>
          </w:p>
          <w:p w14:paraId="3F7EC0FF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sz w:val="18"/>
                <w:szCs w:val="18"/>
              </w:rPr>
              <w:t>Valik 3:</w:t>
            </w:r>
          </w:p>
          <w:p w14:paraId="7CBED7E4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viia avalikku kogumismahutisse</w:t>
            </w:r>
          </w:p>
        </w:tc>
        <w:tc>
          <w:tcPr>
            <w:tcW w:w="1559" w:type="dxa"/>
            <w:vAlign w:val="center"/>
          </w:tcPr>
          <w:p w14:paraId="406D3D30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39D141EA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DA81EE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8B74BB8" w14:textId="49BE5037" w:rsidR="005E10CA" w:rsidRPr="005D2147" w:rsidRDefault="005E10CA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Üle andes</w:t>
            </w:r>
            <w:r w:rsidR="00D1478C"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jäätmevedajale:</w:t>
            </w:r>
          </w:p>
          <w:p w14:paraId="2AE0BDE4" w14:textId="053E7DD0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80L - 0,31€</w:t>
            </w:r>
          </w:p>
          <w:p w14:paraId="0AE1AAF9" w14:textId="7631C404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140L - 0,54€</w:t>
            </w:r>
          </w:p>
          <w:p w14:paraId="0E68CF74" w14:textId="0A96A99C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150L - 0,57€</w:t>
            </w:r>
          </w:p>
          <w:p w14:paraId="65EB4312" w14:textId="56F197E2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240L - 0,92€</w:t>
            </w:r>
          </w:p>
          <w:p w14:paraId="0D78F0A5" w14:textId="7358143D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7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0L – 1,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40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€</w:t>
            </w:r>
          </w:p>
          <w:p w14:paraId="73B49B04" w14:textId="16D13FEC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660L – 2,51€</w:t>
            </w:r>
          </w:p>
          <w:p w14:paraId="72ABE7AE" w14:textId="15253363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800L – 3,05€</w:t>
            </w:r>
          </w:p>
          <w:p w14:paraId="47E3E889" w14:textId="5B1BEB4F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1100L – 4,18€</w:t>
            </w:r>
          </w:p>
          <w:p w14:paraId="0D5CA005" w14:textId="50D234F5" w:rsidR="005E10CA" w:rsidRPr="005D2147" w:rsidRDefault="00D1478C" w:rsidP="00D1478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2500L – 9,52€</w:t>
            </w:r>
          </w:p>
          <w:p w14:paraId="3573A7E6" w14:textId="778FB51A" w:rsidR="005E10CA" w:rsidRPr="005D2147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="00D1478C" w:rsidRPr="005D2147">
              <w:rPr>
                <w:rFonts w:cs="Times New Roman"/>
                <w:color w:val="000000"/>
                <w:sz w:val="18"/>
                <w:szCs w:val="18"/>
              </w:rPr>
              <w:t xml:space="preserve">Kuni </w:t>
            </w:r>
            <w:r w:rsidR="005E10CA" w:rsidRPr="005D2147">
              <w:rPr>
                <w:rFonts w:cs="Times New Roman"/>
                <w:color w:val="000000"/>
                <w:sz w:val="18"/>
                <w:szCs w:val="18"/>
              </w:rPr>
              <w:t>4500L – 17,13€</w:t>
            </w:r>
          </w:p>
        </w:tc>
        <w:tc>
          <w:tcPr>
            <w:tcW w:w="8363" w:type="dxa"/>
            <w:vAlign w:val="center"/>
          </w:tcPr>
          <w:p w14:paraId="30FCF25B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ind w:left="-112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Segapakendeid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saavad jäätmevedajale üle anda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ainult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tiheasustusala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olevad kõik jäätmevaldajad vabatahtlikus korras kas mahutiga või kogumiskotiga.</w:t>
            </w:r>
          </w:p>
          <w:p w14:paraId="72EA51B1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Konteineriga üleandmisel pane pakend konteinerisse lahtiselt või läbipaistvas kotis.</w:t>
            </w:r>
          </w:p>
          <w:p w14:paraId="54BDF992" w14:textId="77777777" w:rsidR="005E10CA" w:rsidRPr="005D2147" w:rsidRDefault="005E10CA" w:rsidP="00EA2FCD">
            <w:pPr>
              <w:pStyle w:val="Loendilik"/>
              <w:numPr>
                <w:ilvl w:val="0"/>
                <w:numId w:val="24"/>
              </w:numPr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Pakendikoti kasutajatele jäetakse uus kogumiskott jäätmevaldajaga kokkulepitud kohta pakendikoti graafikujärgsel veopäeval.</w:t>
            </w:r>
          </w:p>
          <w:p w14:paraId="224CDBD4" w14:textId="4CB89A6C" w:rsidR="00D1478C" w:rsidRPr="005D2147" w:rsidRDefault="00D1478C" w:rsidP="00EA2FCD">
            <w:pPr>
              <w:pStyle w:val="Loendilik"/>
              <w:numPr>
                <w:ilvl w:val="0"/>
                <w:numId w:val="24"/>
              </w:numPr>
              <w:ind w:left="-112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Kogumiskott kaal kuni 10 kg</w:t>
            </w:r>
          </w:p>
        </w:tc>
      </w:tr>
      <w:tr w:rsidR="005D2147" w:rsidRPr="005D2147" w14:paraId="32967436" w14:textId="77777777" w:rsidTr="005D2147">
        <w:tc>
          <w:tcPr>
            <w:tcW w:w="1696" w:type="dxa"/>
            <w:vAlign w:val="center"/>
          </w:tcPr>
          <w:p w14:paraId="275D2495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PABER JA KARTONG</w:t>
            </w:r>
          </w:p>
          <w:p w14:paraId="3B512F16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88395B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56F1788F" w14:textId="77777777" w:rsidR="00D1478C" w:rsidRPr="005D2147" w:rsidRDefault="00D1478C" w:rsidP="00D1478C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1:</w:t>
            </w:r>
          </w:p>
          <w:p w14:paraId="08AAF274" w14:textId="77777777" w:rsidR="00D1478C" w:rsidRPr="005D2147" w:rsidRDefault="00D1478C" w:rsidP="00D1478C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Viia avalikku kogumismahutisse </w:t>
            </w:r>
          </w:p>
          <w:p w14:paraId="2123F0DC" w14:textId="77777777" w:rsidR="00D1478C" w:rsidRPr="005D2147" w:rsidRDefault="00D1478C" w:rsidP="00D1478C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   </w:t>
            </w:r>
          </w:p>
          <w:p w14:paraId="7ADBDB8B" w14:textId="77777777" w:rsidR="00D1478C" w:rsidRPr="005D2147" w:rsidRDefault="00D1478C" w:rsidP="00D1478C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Anda üle kogumismahutiga    </w:t>
            </w:r>
          </w:p>
          <w:p w14:paraId="3A965259" w14:textId="77777777" w:rsidR="005E10CA" w:rsidRPr="005D2147" w:rsidRDefault="005E10CA" w:rsidP="00EA2FCD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35C0DB" w14:textId="77777777" w:rsidR="00F833EC" w:rsidRPr="005D2147" w:rsidRDefault="00F833EC" w:rsidP="00F833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14, 28 või 84 päeva tagant</w:t>
            </w:r>
          </w:p>
          <w:p w14:paraId="33E1F12E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DEE4B2C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C6D28B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TASUTA</w:t>
            </w:r>
          </w:p>
        </w:tc>
        <w:tc>
          <w:tcPr>
            <w:tcW w:w="8363" w:type="dxa"/>
            <w:vAlign w:val="center"/>
          </w:tcPr>
          <w:p w14:paraId="1B87E634" w14:textId="77777777" w:rsidR="005E10CA" w:rsidRPr="005D2147" w:rsidRDefault="005E10CA" w:rsidP="00EA2FCD">
            <w:pPr>
              <w:pStyle w:val="Loendilik"/>
              <w:ind w:left="-11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7972C36" w14:textId="77777777" w:rsidR="005E10CA" w:rsidRPr="005D2147" w:rsidRDefault="005E10CA" w:rsidP="00EA2FCD">
            <w:pPr>
              <w:pStyle w:val="Loendilik"/>
              <w:numPr>
                <w:ilvl w:val="0"/>
                <w:numId w:val="20"/>
              </w:numPr>
              <w:ind w:left="-112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Paberi ja kartongi mahutisse pane ainult kuiv ja puhas vanapaber paberkotis või lahtiselt.</w:t>
            </w:r>
          </w:p>
          <w:p w14:paraId="3D40887C" w14:textId="136A4951" w:rsidR="00D1478C" w:rsidRPr="005D2147" w:rsidRDefault="00D1478C" w:rsidP="00D1478C">
            <w:pPr>
              <w:pStyle w:val="Loendilik"/>
              <w:numPr>
                <w:ilvl w:val="0"/>
                <w:numId w:val="20"/>
              </w:numPr>
              <w:ind w:left="-112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Arial"/>
                <w:color w:val="202020"/>
                <w:sz w:val="18"/>
                <w:szCs w:val="18"/>
                <w:shd w:val="clear" w:color="auto" w:fill="FFFFFF"/>
              </w:rPr>
              <w:t xml:space="preserve">Tiheasustusalal asuvatel muudel jäätmevaldajatel on võimalus sega- ja klaaspakendeid vedajale üle anda. </w:t>
            </w:r>
          </w:p>
          <w:p w14:paraId="094C4FFB" w14:textId="6FC0C62D" w:rsidR="00D1478C" w:rsidRPr="005D2147" w:rsidRDefault="00D1478C" w:rsidP="00D1478C">
            <w:pPr>
              <w:ind w:left="-11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0D87ECDC" w14:textId="77777777" w:rsidR="005E10CA" w:rsidRPr="005D2147" w:rsidRDefault="005E10CA" w:rsidP="00EA2FCD">
            <w:pPr>
              <w:ind w:left="-112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D2147" w:rsidRPr="005D2147" w14:paraId="4FFF0583" w14:textId="77777777" w:rsidTr="005D2147">
        <w:tc>
          <w:tcPr>
            <w:tcW w:w="1696" w:type="dxa"/>
            <w:vAlign w:val="center"/>
          </w:tcPr>
          <w:p w14:paraId="50F50F9C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KLAASPAKEND</w:t>
            </w:r>
          </w:p>
          <w:p w14:paraId="6464C543" w14:textId="77777777" w:rsidR="005E10CA" w:rsidRPr="005D2147" w:rsidRDefault="005E10CA" w:rsidP="00EA2FC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F08345" w14:textId="345A0848" w:rsidR="005E10CA" w:rsidRPr="005D2147" w:rsidRDefault="00D1478C" w:rsidP="00EA2FCD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1:</w:t>
            </w:r>
          </w:p>
          <w:p w14:paraId="7E46164F" w14:textId="77777777" w:rsidR="00D1478C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Viia avalikku kogumismahutisse </w:t>
            </w:r>
          </w:p>
          <w:p w14:paraId="7FD37625" w14:textId="77777777" w:rsidR="00D1478C" w:rsidRPr="005D2147" w:rsidRDefault="00D1478C" w:rsidP="00EA2FCD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="005E10CA"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14:paraId="0DE89F13" w14:textId="082A946A" w:rsidR="005E10CA" w:rsidRPr="005D2147" w:rsidRDefault="00D1478C" w:rsidP="00EA2FCD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Anda üle kogumismahutiga</w:t>
            </w:r>
            <w:r w:rsidR="005E10CA" w:rsidRPr="005D2147">
              <w:rPr>
                <w:rFonts w:cs="Times New Roman"/>
                <w:sz w:val="18"/>
                <w:szCs w:val="18"/>
              </w:rPr>
              <w:t xml:space="preserve">    </w:t>
            </w:r>
          </w:p>
          <w:p w14:paraId="302B4770" w14:textId="77777777" w:rsidR="005E10CA" w:rsidRPr="005D2147" w:rsidRDefault="005E10CA" w:rsidP="00EA2FC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A664B9" w14:textId="77777777" w:rsidR="00F833EC" w:rsidRPr="005D2147" w:rsidRDefault="00F833EC" w:rsidP="00F833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07605B9F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16A7A4A0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0F2ECE" w14:textId="77777777" w:rsidR="00D1478C" w:rsidRPr="005D2147" w:rsidRDefault="00D1478C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7593643" w14:textId="77777777" w:rsidR="00D1478C" w:rsidRPr="005D2147" w:rsidRDefault="00D1478C" w:rsidP="00D1478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Üle andes jäätmevedajale:</w:t>
            </w:r>
          </w:p>
          <w:p w14:paraId="25B57E69" w14:textId="77777777" w:rsidR="00D1478C" w:rsidRPr="005D2147" w:rsidRDefault="00D1478C" w:rsidP="00D1478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47EF9F6" w14:textId="4F9D1773" w:rsidR="00D1478C" w:rsidRPr="005D2147" w:rsidRDefault="00D1478C" w:rsidP="00D1478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Kuni 80L –   0,21€€</w:t>
            </w:r>
          </w:p>
          <w:p w14:paraId="76484AA0" w14:textId="4F0B0CD9" w:rsidR="00D1478C" w:rsidRPr="005D2147" w:rsidRDefault="00D1478C" w:rsidP="00D1478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Kuni 140L – 0,35€</w:t>
            </w:r>
          </w:p>
          <w:p w14:paraId="4E63CA6B" w14:textId="526097AC" w:rsidR="00D1478C" w:rsidRPr="005D2147" w:rsidRDefault="00D1478C" w:rsidP="00D1478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Kuni 240L – 0,61€</w:t>
            </w:r>
          </w:p>
          <w:p w14:paraId="75595EA4" w14:textId="77777777" w:rsidR="00D1478C" w:rsidRPr="005D2147" w:rsidRDefault="00D1478C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56A6F6C6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5E55F9B9" w14:textId="77777777" w:rsidR="005E10CA" w:rsidRPr="005D2147" w:rsidRDefault="005E10CA" w:rsidP="00EA2FCD">
            <w:pPr>
              <w:pStyle w:val="Loendilik"/>
              <w:numPr>
                <w:ilvl w:val="0"/>
                <w:numId w:val="20"/>
              </w:numPr>
              <w:ind w:left="-112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Klaaspakendid peavad olema tootest tühjad ja vajadusel kergelt loputatud.</w:t>
            </w:r>
          </w:p>
          <w:p w14:paraId="6378E464" w14:textId="77777777" w:rsidR="005E10CA" w:rsidRPr="005D2147" w:rsidRDefault="005E10CA" w:rsidP="00EA2FCD">
            <w:pPr>
              <w:pStyle w:val="Loendilik"/>
              <w:numPr>
                <w:ilvl w:val="0"/>
                <w:numId w:val="20"/>
              </w:numPr>
              <w:ind w:left="-112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Jäätmed panna mahutisse lahtiselt.</w:t>
            </w:r>
            <w:r w:rsidRPr="005D2147">
              <w:rPr>
                <w:rFonts w:cs="Times New Roman"/>
                <w:sz w:val="18"/>
                <w:szCs w:val="18"/>
              </w:rPr>
              <w:tab/>
            </w:r>
          </w:p>
          <w:p w14:paraId="235A0859" w14:textId="0DEAD182" w:rsidR="00D1478C" w:rsidRPr="005D2147" w:rsidRDefault="00D1478C" w:rsidP="00EA2FCD">
            <w:pPr>
              <w:pStyle w:val="Loendilik"/>
              <w:numPr>
                <w:ilvl w:val="0"/>
                <w:numId w:val="20"/>
              </w:numPr>
              <w:ind w:left="-112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Arial"/>
                <w:color w:val="202020"/>
                <w:sz w:val="18"/>
                <w:szCs w:val="18"/>
                <w:shd w:val="clear" w:color="auto" w:fill="FFFFFF"/>
              </w:rPr>
              <w:t>Tiheasustusalal asuvatel muudel jäätmevaldajatel on võimalus sega- ja klaaspakendeid vedajale üle anda.</w:t>
            </w:r>
          </w:p>
        </w:tc>
      </w:tr>
      <w:tr w:rsidR="005D2147" w:rsidRPr="005D2147" w14:paraId="375AC152" w14:textId="77777777" w:rsidTr="005D2147">
        <w:tc>
          <w:tcPr>
            <w:tcW w:w="1696" w:type="dxa"/>
            <w:shd w:val="clear" w:color="auto" w:fill="auto"/>
            <w:vAlign w:val="center"/>
          </w:tcPr>
          <w:p w14:paraId="058361DD" w14:textId="40B263FC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AIA- JA HALJASTUS-JÄÄTMED</w:t>
            </w:r>
          </w:p>
          <w:p w14:paraId="1C4E04A6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1511F8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      kodune kompostimine     </w:t>
            </w:r>
          </w:p>
          <w:p w14:paraId="5B5F43BD" w14:textId="59F6B98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 anda üle vedajale kogumisringide raames</w:t>
            </w:r>
          </w:p>
          <w:p w14:paraId="70B6922F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3:</w:t>
            </w:r>
          </w:p>
          <w:p w14:paraId="2712FDD3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viia nõuetekohasesse kogumiskohta</w:t>
            </w:r>
          </w:p>
        </w:tc>
        <w:tc>
          <w:tcPr>
            <w:tcW w:w="1559" w:type="dxa"/>
            <w:vAlign w:val="center"/>
          </w:tcPr>
          <w:p w14:paraId="1EA05F19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Kogumisringid toimuvad </w:t>
            </w:r>
          </w:p>
          <w:p w14:paraId="096CF496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üks kord kuus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ajavahemikus </w:t>
            </w:r>
          </w:p>
          <w:p w14:paraId="33EFE24E" w14:textId="77777777" w:rsidR="005E10CA" w:rsidRPr="005D2147" w:rsidRDefault="005E10CA" w:rsidP="00EA2FC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1.mai kuni 30.november</w:t>
            </w:r>
          </w:p>
          <w:p w14:paraId="14C98C93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7DC965" w14:textId="1841F642" w:rsidR="005E10CA" w:rsidRPr="005D2147" w:rsidRDefault="001A17A1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Kuni 150L kott (kuni 10kg)</w:t>
            </w:r>
          </w:p>
          <w:p w14:paraId="14E8D788" w14:textId="77777777" w:rsidR="001A17A1" w:rsidRPr="005D2147" w:rsidRDefault="001A17A1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0,57€</w:t>
            </w:r>
          </w:p>
          <w:p w14:paraId="12DB85D9" w14:textId="77777777" w:rsidR="001A17A1" w:rsidRPr="005D2147" w:rsidRDefault="001A17A1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Kuni 200L kott (kuni 20 kg)</w:t>
            </w:r>
          </w:p>
          <w:p w14:paraId="1322ACC3" w14:textId="1619C8B6" w:rsidR="001A17A1" w:rsidRPr="005D2147" w:rsidRDefault="001A17A1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0,76€</w:t>
            </w:r>
          </w:p>
        </w:tc>
        <w:tc>
          <w:tcPr>
            <w:tcW w:w="8363" w:type="dxa"/>
            <w:vAlign w:val="center"/>
          </w:tcPr>
          <w:p w14:paraId="344A61A6" w14:textId="77777777" w:rsidR="005E10CA" w:rsidRPr="005D2147" w:rsidRDefault="005E10CA" w:rsidP="00EA2FCD">
            <w:pPr>
              <w:pStyle w:val="Loendilik"/>
              <w:numPr>
                <w:ilvl w:val="0"/>
                <w:numId w:val="21"/>
              </w:numPr>
              <w:ind w:left="-112" w:firstLine="0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Biolagunevad aia- ja haljastujäätmeid saavad jäätmevedajale üle anda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ainult tiheasustusalal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asuvad jäätmevaldajad vabatahtlikus korras. Kui soovid teenust, lisa see tellimus lepingusse.</w:t>
            </w:r>
          </w:p>
          <w:p w14:paraId="485266CE" w14:textId="058226CD" w:rsidR="001A17A1" w:rsidRPr="005D2147" w:rsidRDefault="005E10CA" w:rsidP="00EA2FCD">
            <w:pPr>
              <w:pStyle w:val="Loendilik"/>
              <w:numPr>
                <w:ilvl w:val="0"/>
                <w:numId w:val="21"/>
              </w:numPr>
              <w:ind w:left="-112" w:firstLine="0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Aia- ja haljastujäätmed peavad olema pakitud läbipaistvasse, suletud ja kergesti teisaldatava</w:t>
            </w:r>
            <w:r w:rsidR="00F833EC" w:rsidRPr="005D2147">
              <w:rPr>
                <w:rFonts w:cs="Times New Roman"/>
                <w:color w:val="000000"/>
                <w:sz w:val="18"/>
                <w:szCs w:val="18"/>
              </w:rPr>
              <w:t>d.</w:t>
            </w:r>
          </w:p>
          <w:p w14:paraId="66387133" w14:textId="77777777" w:rsidR="005E10CA" w:rsidRPr="005D2147" w:rsidRDefault="005E10CA" w:rsidP="00EA2FCD">
            <w:pPr>
              <w:pStyle w:val="Loendilik"/>
              <w:numPr>
                <w:ilvl w:val="0"/>
                <w:numId w:val="21"/>
              </w:numPr>
              <w:ind w:left="-112" w:firstLine="0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Jäätmevaldajale tuleb ette teatada </w:t>
            </w: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äraantavate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kogumiskottide eeldatav kogus.</w:t>
            </w:r>
          </w:p>
          <w:p w14:paraId="1E5BAB23" w14:textId="77777777" w:rsidR="005E10CA" w:rsidRPr="005D2147" w:rsidRDefault="005E10CA" w:rsidP="00EA2FCD">
            <w:pPr>
              <w:pStyle w:val="Loendilik"/>
              <w:numPr>
                <w:ilvl w:val="0"/>
                <w:numId w:val="21"/>
              </w:numPr>
              <w:ind w:left="-112" w:firstLine="0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Kotid tuleb paigutada asukohta, millele on tagatud jäätmevedajale ligipääs.</w:t>
            </w:r>
          </w:p>
          <w:p w14:paraId="3DC12FFD" w14:textId="77777777" w:rsidR="005E10CA" w:rsidRPr="005D2147" w:rsidRDefault="005E10CA" w:rsidP="00EA2FCD">
            <w:pPr>
              <w:pStyle w:val="Loendilik"/>
              <w:numPr>
                <w:ilvl w:val="0"/>
                <w:numId w:val="21"/>
              </w:numPr>
              <w:ind w:left="-112" w:firstLine="0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Kui aia- ja haljastujäätmete kott sisaldab </w:t>
            </w:r>
            <w:proofErr w:type="spellStart"/>
            <w:r w:rsidRPr="005D2147">
              <w:rPr>
                <w:rFonts w:cs="Times New Roman"/>
                <w:color w:val="000000"/>
                <w:sz w:val="18"/>
                <w:szCs w:val="18"/>
              </w:rPr>
              <w:t>võõriseid</w:t>
            </w:r>
            <w:proofErr w:type="spellEnd"/>
            <w:r w:rsidRPr="005D2147">
              <w:rPr>
                <w:rFonts w:cs="Times New Roman"/>
                <w:color w:val="000000"/>
                <w:sz w:val="18"/>
                <w:szCs w:val="18"/>
              </w:rPr>
              <w:t>, on jäätmevedajal õigus jätta kott vedamata ning rakendada tühisõidu tasu.</w:t>
            </w:r>
          </w:p>
        </w:tc>
      </w:tr>
      <w:tr w:rsidR="005D2147" w:rsidRPr="005D2147" w14:paraId="0855C928" w14:textId="77777777" w:rsidTr="005D2147">
        <w:tc>
          <w:tcPr>
            <w:tcW w:w="1696" w:type="dxa"/>
            <w:vAlign w:val="center"/>
          </w:tcPr>
          <w:p w14:paraId="2A6AC57B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SUURJÄÄTMED</w:t>
            </w:r>
          </w:p>
          <w:p w14:paraId="5D26CA3C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2955BC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30CAE364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viia nõuetekohasesse kogumiskohta</w:t>
            </w:r>
          </w:p>
        </w:tc>
        <w:tc>
          <w:tcPr>
            <w:tcW w:w="1559" w:type="dxa"/>
            <w:vAlign w:val="center"/>
          </w:tcPr>
          <w:p w14:paraId="728241DA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Kogumisringid toimuvad</w:t>
            </w:r>
          </w:p>
          <w:p w14:paraId="0A252FD3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4FA86D38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0B72E6B2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08FCFA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10,15€/ m³</w:t>
            </w:r>
          </w:p>
        </w:tc>
        <w:tc>
          <w:tcPr>
            <w:tcW w:w="8363" w:type="dxa"/>
            <w:vAlign w:val="center"/>
          </w:tcPr>
          <w:p w14:paraId="3DDDD325" w14:textId="77777777" w:rsidR="005E10CA" w:rsidRPr="005D2147" w:rsidRDefault="005E10CA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Suurjäätmeid saavad jäätmevedajale üle anda kõik jäätmevaldajad vabatahtlikus korras. Kui soovid teenust, lisa see lepingusse.</w:t>
            </w:r>
          </w:p>
          <w:p w14:paraId="01FA017F" w14:textId="77777777" w:rsidR="005E10CA" w:rsidRPr="005D2147" w:rsidRDefault="005E10CA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Suurjäätmete veo tellimisel peab jäätmevaldaja andma jäätmevedajale teada </w:t>
            </w:r>
            <w:proofErr w:type="spellStart"/>
            <w:r w:rsidRPr="005D2147">
              <w:rPr>
                <w:rFonts w:cs="Times New Roman"/>
                <w:sz w:val="18"/>
                <w:szCs w:val="18"/>
              </w:rPr>
              <w:t>äraantavate</w:t>
            </w:r>
            <w:proofErr w:type="spellEnd"/>
            <w:r w:rsidRPr="005D2147">
              <w:rPr>
                <w:rFonts w:cs="Times New Roman"/>
                <w:sz w:val="18"/>
                <w:szCs w:val="18"/>
              </w:rPr>
              <w:t xml:space="preserve"> jäätmete ligikaudse koguse ja mahu.</w:t>
            </w:r>
          </w:p>
          <w:p w14:paraId="0131E528" w14:textId="77777777" w:rsidR="005E10CA" w:rsidRPr="005D2147" w:rsidRDefault="005E10CA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 Üheaegselt üleantava suurjäätme mahu piirang on 5 kuupmeetrit jäätmevaldaja kohta.</w:t>
            </w:r>
          </w:p>
          <w:p w14:paraId="6F180A73" w14:textId="0BB0ADAB" w:rsidR="001A17A1" w:rsidRPr="005D2147" w:rsidRDefault="001A17A1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Suurjäätmetele tuleb tagada vahetu ligipääs jäätmeveokiga.</w:t>
            </w:r>
          </w:p>
        </w:tc>
      </w:tr>
      <w:tr w:rsidR="005D2147" w:rsidRPr="005D2147" w14:paraId="77E20CB1" w14:textId="77777777" w:rsidTr="005D2147">
        <w:tc>
          <w:tcPr>
            <w:tcW w:w="1696" w:type="dxa"/>
            <w:vAlign w:val="center"/>
          </w:tcPr>
          <w:p w14:paraId="5E12B2CF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OHTLIKUD JÄÄTMED</w:t>
            </w:r>
          </w:p>
        </w:tc>
        <w:tc>
          <w:tcPr>
            <w:tcW w:w="1843" w:type="dxa"/>
            <w:vAlign w:val="center"/>
          </w:tcPr>
          <w:p w14:paraId="0E62A0A5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78B98D90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viia nõuetekohasesse kogumiskohta</w:t>
            </w:r>
          </w:p>
        </w:tc>
        <w:tc>
          <w:tcPr>
            <w:tcW w:w="1559" w:type="dxa"/>
            <w:vAlign w:val="center"/>
          </w:tcPr>
          <w:p w14:paraId="0178D34A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Kogumisringid toimuvad</w:t>
            </w:r>
          </w:p>
          <w:p w14:paraId="134E68AC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42123719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4FD88A4B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FDE9B9" w14:textId="7AED1795" w:rsidR="005E10CA" w:rsidRPr="005133CB" w:rsidRDefault="005133CB" w:rsidP="00EA2F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133CB">
              <w:rPr>
                <w:rFonts w:cs="Times New Roman"/>
                <w:b/>
                <w:bCs/>
                <w:sz w:val="18"/>
                <w:szCs w:val="18"/>
              </w:rPr>
              <w:t xml:space="preserve">Hinnakiri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ja tingimused </w:t>
            </w:r>
            <w:r w:rsidRPr="005133CB">
              <w:rPr>
                <w:rFonts w:cs="Times New Roman"/>
                <w:b/>
                <w:bCs/>
                <w:sz w:val="18"/>
                <w:szCs w:val="18"/>
              </w:rPr>
              <w:t xml:space="preserve">avalikustatakse vahetult ennem Keskkonnajaama </w:t>
            </w:r>
          </w:p>
          <w:p w14:paraId="413E3710" w14:textId="4AC76C14" w:rsidR="005133CB" w:rsidRPr="005D2147" w:rsidRDefault="005133CB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33CB">
              <w:rPr>
                <w:rFonts w:cs="Times New Roman"/>
                <w:b/>
                <w:bCs/>
                <w:sz w:val="18"/>
                <w:szCs w:val="18"/>
              </w:rPr>
              <w:t>avamist</w:t>
            </w:r>
          </w:p>
        </w:tc>
        <w:tc>
          <w:tcPr>
            <w:tcW w:w="8363" w:type="dxa"/>
            <w:vAlign w:val="center"/>
          </w:tcPr>
          <w:p w14:paraId="0AD33629" w14:textId="77777777" w:rsidR="005E10CA" w:rsidRPr="005D2147" w:rsidRDefault="005E10CA" w:rsidP="00EA2FCD">
            <w:pPr>
              <w:pStyle w:val="Loendilik"/>
              <w:numPr>
                <w:ilvl w:val="0"/>
                <w:numId w:val="23"/>
              </w:numPr>
              <w:ind w:left="-112" w:hanging="6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Ohtlike jäätmeid saavad jäätmevedajale üle anda kõik jäätmevaldajad vabatahtlikus korras. Kui soovid teenust, lisa see lepingusse.</w:t>
            </w:r>
          </w:p>
          <w:p w14:paraId="63D17219" w14:textId="66545460" w:rsidR="005E10CA" w:rsidRPr="005D2147" w:rsidRDefault="004178A7" w:rsidP="00EA2FCD">
            <w:pPr>
              <w:pStyle w:val="Loendilik"/>
              <w:numPr>
                <w:ilvl w:val="0"/>
                <w:numId w:val="23"/>
              </w:numPr>
              <w:ind w:left="-112" w:hanging="6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Ohtlike jäätmeid </w:t>
            </w:r>
            <w:r w:rsidR="005E10CA" w:rsidRPr="005D2147">
              <w:rPr>
                <w:rFonts w:cs="Times New Roman"/>
                <w:sz w:val="18"/>
                <w:szCs w:val="18"/>
              </w:rPr>
              <w:t xml:space="preserve">veo tellimisel peab jäätmevaldaja andma jäätmevedajale teada </w:t>
            </w:r>
            <w:proofErr w:type="spellStart"/>
            <w:r w:rsidR="005E10CA" w:rsidRPr="005D2147">
              <w:rPr>
                <w:rFonts w:cs="Times New Roman"/>
                <w:sz w:val="18"/>
                <w:szCs w:val="18"/>
              </w:rPr>
              <w:t>äraantavate</w:t>
            </w:r>
            <w:proofErr w:type="spellEnd"/>
            <w:r w:rsidR="005E10CA" w:rsidRPr="005D2147">
              <w:rPr>
                <w:rFonts w:cs="Times New Roman"/>
                <w:sz w:val="18"/>
                <w:szCs w:val="18"/>
              </w:rPr>
              <w:t xml:space="preserve"> jäätmete ligikaudse koguse ja mahu.</w:t>
            </w:r>
          </w:p>
          <w:p w14:paraId="00049070" w14:textId="567E5F3A" w:rsidR="004178A7" w:rsidRPr="005D2147" w:rsidRDefault="004178A7" w:rsidP="00EA2FCD">
            <w:pPr>
              <w:pStyle w:val="Loendilik"/>
              <w:numPr>
                <w:ilvl w:val="0"/>
                <w:numId w:val="23"/>
              </w:numPr>
              <w:ind w:left="-112" w:hanging="6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 xml:space="preserve">Piirkogused, mida jäätmevaldaja saab aastas </w:t>
            </w:r>
            <w:r w:rsidRPr="005D2147">
              <w:rPr>
                <w:rFonts w:cs="Times New Roman"/>
                <w:b/>
                <w:bCs/>
                <w:sz w:val="18"/>
                <w:szCs w:val="18"/>
              </w:rPr>
              <w:t>tasuta üle anda</w:t>
            </w:r>
            <w:r w:rsidRPr="005D2147">
              <w:rPr>
                <w:rFonts w:cs="Times New Roman"/>
                <w:sz w:val="18"/>
                <w:szCs w:val="18"/>
              </w:rPr>
              <w:t xml:space="preserve"> on toodud Keskkonnajaama hinnakirjas.</w:t>
            </w:r>
          </w:p>
          <w:p w14:paraId="3CB1E01C" w14:textId="2CDC92CC" w:rsidR="004178A7" w:rsidRPr="005D2147" w:rsidRDefault="004178A7" w:rsidP="00EA2FCD">
            <w:pPr>
              <w:pStyle w:val="Loendilik"/>
              <w:numPr>
                <w:ilvl w:val="0"/>
                <w:numId w:val="23"/>
              </w:numPr>
              <w:ind w:left="-112" w:hanging="6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Mahuvälised hinnad Keskkonnajaama hinnakirjas.</w:t>
            </w:r>
          </w:p>
          <w:p w14:paraId="7513138D" w14:textId="4631B283" w:rsidR="005E10CA" w:rsidRPr="005D2147" w:rsidRDefault="005E10CA" w:rsidP="00EA2FCD">
            <w:pPr>
              <w:pStyle w:val="Loendilik"/>
              <w:ind w:left="-112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D2147" w:rsidRPr="005D2147" w14:paraId="7DBB3F8C" w14:textId="77777777" w:rsidTr="005D2147">
        <w:trPr>
          <w:trHeight w:val="1768"/>
        </w:trPr>
        <w:tc>
          <w:tcPr>
            <w:tcW w:w="1696" w:type="dxa"/>
            <w:vAlign w:val="center"/>
          </w:tcPr>
          <w:p w14:paraId="360DE7E6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TEKSTIILI-JÄÄTMED</w:t>
            </w:r>
          </w:p>
          <w:p w14:paraId="4E86374C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044929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5577689C" w14:textId="77777777" w:rsidR="005E10CA" w:rsidRPr="005D2147" w:rsidRDefault="005E10CA" w:rsidP="00EA2FCD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60F503C8" w14:textId="77777777" w:rsidR="005E10CA" w:rsidRPr="005D2147" w:rsidRDefault="005E10CA" w:rsidP="00EA2FCD">
            <w:pPr>
              <w:spacing w:before="240"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viia nõuetekohasesse kogumiskohta</w:t>
            </w:r>
          </w:p>
        </w:tc>
        <w:tc>
          <w:tcPr>
            <w:tcW w:w="1559" w:type="dxa"/>
            <w:vAlign w:val="center"/>
          </w:tcPr>
          <w:p w14:paraId="329F0B10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Kogumisringid toimuvad </w:t>
            </w:r>
          </w:p>
          <w:p w14:paraId="1A7844E0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5D214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12F6F39C" w14:textId="77777777" w:rsidR="005E10CA" w:rsidRPr="005D2147" w:rsidRDefault="005E10CA" w:rsidP="00EA2FC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2147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26EC5DEC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DBEDB1" w14:textId="77777777" w:rsidR="005E10CA" w:rsidRPr="005D2147" w:rsidRDefault="005E10CA" w:rsidP="00EA2F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6,10€/ m³</w:t>
            </w:r>
          </w:p>
        </w:tc>
        <w:tc>
          <w:tcPr>
            <w:tcW w:w="8363" w:type="dxa"/>
            <w:vAlign w:val="center"/>
          </w:tcPr>
          <w:p w14:paraId="143A79AB" w14:textId="77777777" w:rsidR="005E10CA" w:rsidRPr="005D2147" w:rsidRDefault="005E10CA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Tekstiilijäätmeid saavad jäätmevedajale üle anda kõik jäätmevaldajad vabatahtlikus korras. Kui soovid teenust, lisa see lepingusse.</w:t>
            </w:r>
          </w:p>
          <w:p w14:paraId="225A4AD9" w14:textId="77777777" w:rsidR="005E10CA" w:rsidRPr="005D2147" w:rsidRDefault="005E10CA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Jäätmete üleandmine toimub pappkastiga või kotiga.</w:t>
            </w:r>
          </w:p>
          <w:p w14:paraId="7CF6235F" w14:textId="77777777" w:rsidR="005E10CA" w:rsidRPr="005D2147" w:rsidRDefault="005E10CA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Vastu võetakse taaskasutuseks mõeldud  puhtaid ja terveid riideesemeid jm olmelise tegevuse raames tekkinud tekstiilijäätmeid.</w:t>
            </w:r>
          </w:p>
          <w:p w14:paraId="5700224A" w14:textId="220AF3A0" w:rsidR="001A17A1" w:rsidRPr="005D2147" w:rsidRDefault="001A17A1" w:rsidP="00EA2FCD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5D2147">
              <w:rPr>
                <w:rFonts w:cs="Times New Roman"/>
                <w:sz w:val="18"/>
                <w:szCs w:val="18"/>
              </w:rPr>
              <w:t>Tootmistegevuste raames tekkivad tekstiilijäätmed ei ole mõeldud üleandmiseks kogumisringide raames.</w:t>
            </w:r>
          </w:p>
          <w:p w14:paraId="09B7EABA" w14:textId="77777777" w:rsidR="005E10CA" w:rsidRPr="005D2147" w:rsidRDefault="005E10CA" w:rsidP="00EA2FCD">
            <w:pPr>
              <w:ind w:left="35"/>
              <w:jc w:val="both"/>
              <w:rPr>
                <w:rFonts w:cs="Times New Roman"/>
                <w:sz w:val="18"/>
                <w:szCs w:val="18"/>
              </w:rPr>
            </w:pPr>
          </w:p>
          <w:p w14:paraId="6FB494BE" w14:textId="77777777" w:rsidR="005E10CA" w:rsidRPr="005D2147" w:rsidRDefault="005E10CA" w:rsidP="00EA2FCD">
            <w:pPr>
              <w:keepNext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36F6639A" w14:textId="77777777" w:rsidR="005D2147" w:rsidRDefault="005D2147" w:rsidP="005E10CA">
      <w:pPr>
        <w:rPr>
          <w:rFonts w:ascii="Times New Roman" w:hAnsi="Times New Roman" w:cs="Times New Roman"/>
          <w:sz w:val="18"/>
          <w:szCs w:val="18"/>
        </w:rPr>
      </w:pPr>
    </w:p>
    <w:p w14:paraId="2A1E8A0C" w14:textId="05B99055" w:rsidR="007736C1" w:rsidRPr="007257AB" w:rsidRDefault="005E10CA" w:rsidP="007257AB">
      <w:pPr>
        <w:rPr>
          <w:rFonts w:ascii="Times New Roman" w:hAnsi="Times New Roman" w:cs="Times New Roman"/>
          <w:sz w:val="18"/>
          <w:szCs w:val="18"/>
        </w:rPr>
      </w:pPr>
      <w:r w:rsidRPr="00D05F7D">
        <w:rPr>
          <w:rFonts w:ascii="Times New Roman" w:hAnsi="Times New Roman" w:cs="Times New Roman"/>
          <w:sz w:val="18"/>
          <w:szCs w:val="18"/>
        </w:rPr>
        <w:t xml:space="preserve">*Ridaelamute puhul soovitame rakendada/ jätkata </w:t>
      </w:r>
      <w:proofErr w:type="spellStart"/>
      <w:r w:rsidRPr="00D05F7D">
        <w:rPr>
          <w:rFonts w:ascii="Times New Roman" w:hAnsi="Times New Roman" w:cs="Times New Roman"/>
          <w:sz w:val="18"/>
          <w:szCs w:val="18"/>
        </w:rPr>
        <w:t>ühismahuti</w:t>
      </w:r>
      <w:proofErr w:type="spellEnd"/>
      <w:r w:rsidRPr="00D05F7D">
        <w:rPr>
          <w:rFonts w:ascii="Times New Roman" w:hAnsi="Times New Roman" w:cs="Times New Roman"/>
          <w:sz w:val="18"/>
          <w:szCs w:val="18"/>
        </w:rPr>
        <w:t xml:space="preserve"> kasutamist. Alates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D05F7D">
        <w:rPr>
          <w:rFonts w:ascii="Times New Roman" w:hAnsi="Times New Roman" w:cs="Times New Roman"/>
          <w:sz w:val="18"/>
          <w:szCs w:val="18"/>
        </w:rPr>
        <w:t xml:space="preserve"> boksiga ridaelamu puhul on paberi</w:t>
      </w:r>
      <w:r w:rsidR="00165523">
        <w:rPr>
          <w:rFonts w:ascii="Times New Roman" w:hAnsi="Times New Roman" w:cs="Times New Roman"/>
          <w:sz w:val="18"/>
          <w:szCs w:val="18"/>
        </w:rPr>
        <w:t xml:space="preserve"> </w:t>
      </w:r>
      <w:r w:rsidRPr="00D05F7D">
        <w:rPr>
          <w:rFonts w:ascii="Times New Roman" w:hAnsi="Times New Roman" w:cs="Times New Roman"/>
          <w:sz w:val="18"/>
          <w:szCs w:val="18"/>
        </w:rPr>
        <w:t xml:space="preserve"> ja kartongijäätmete üleandmine kohustuslik ühiselt (nii nagu kortermaja miinimumnõuetes kirjas). Ridaelamu, mis tegutseb ühistuna, peab rakendama kortermaja </w:t>
      </w:r>
      <w:proofErr w:type="spellStart"/>
      <w:r w:rsidRPr="00D05F7D">
        <w:rPr>
          <w:rFonts w:ascii="Times New Roman" w:hAnsi="Times New Roman" w:cs="Times New Roman"/>
          <w:sz w:val="18"/>
          <w:szCs w:val="18"/>
        </w:rPr>
        <w:t>miinimunõudeid</w:t>
      </w:r>
      <w:proofErr w:type="spellEnd"/>
      <w:r w:rsidRPr="00D05F7D">
        <w:rPr>
          <w:rFonts w:ascii="Times New Roman" w:hAnsi="Times New Roman" w:cs="Times New Roman"/>
          <w:sz w:val="18"/>
          <w:szCs w:val="18"/>
        </w:rPr>
        <w:t xml:space="preserve">). Ridaelamu boksid võivad kompostimist rakendada juhul, kui boksil on võimalik kompost oma kinnistul ära kasutada. </w:t>
      </w:r>
    </w:p>
    <w:sectPr w:rsidR="007736C1" w:rsidRPr="007257AB" w:rsidSect="005D2147">
      <w:pgSz w:w="16838" w:h="23811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CD0"/>
    <w:multiLevelType w:val="hybridMultilevel"/>
    <w:tmpl w:val="FFFFFFFF"/>
    <w:lvl w:ilvl="0" w:tplc="C75459DC">
      <w:start w:val="1"/>
      <w:numFmt w:val="decimal"/>
      <w:suff w:val="space"/>
      <w:lvlText w:val="(%1)"/>
      <w:lvlJc w:val="left"/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EF4C74"/>
    <w:multiLevelType w:val="multilevel"/>
    <w:tmpl w:val="92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340D4"/>
    <w:multiLevelType w:val="hybridMultilevel"/>
    <w:tmpl w:val="0158C7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91E"/>
    <w:multiLevelType w:val="hybridMultilevel"/>
    <w:tmpl w:val="CA886836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780F58"/>
    <w:multiLevelType w:val="hybridMultilevel"/>
    <w:tmpl w:val="FFFFFFFF"/>
    <w:lvl w:ilvl="0" w:tplc="7C3C8F94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AF788A"/>
    <w:multiLevelType w:val="hybridMultilevel"/>
    <w:tmpl w:val="0D5E1FC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660351"/>
    <w:multiLevelType w:val="hybridMultilevel"/>
    <w:tmpl w:val="C112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19C1"/>
    <w:multiLevelType w:val="hybridMultilevel"/>
    <w:tmpl w:val="6B844752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C14E0"/>
    <w:multiLevelType w:val="hybridMultilevel"/>
    <w:tmpl w:val="F88EE5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19E8"/>
    <w:multiLevelType w:val="multilevel"/>
    <w:tmpl w:val="3B9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1B53A9"/>
    <w:multiLevelType w:val="hybridMultilevel"/>
    <w:tmpl w:val="9048C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7969"/>
    <w:multiLevelType w:val="hybridMultilevel"/>
    <w:tmpl w:val="72D24C08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7816AE4"/>
    <w:multiLevelType w:val="hybridMultilevel"/>
    <w:tmpl w:val="2B640300"/>
    <w:lvl w:ilvl="0" w:tplc="D690E3B4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85E"/>
    <w:multiLevelType w:val="hybridMultilevel"/>
    <w:tmpl w:val="FFFFFFFF"/>
    <w:lvl w:ilvl="0" w:tplc="025A9482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4" w15:restartNumberingAfterBreak="0">
    <w:nsid w:val="53FD67BD"/>
    <w:multiLevelType w:val="hybridMultilevel"/>
    <w:tmpl w:val="EF5E711E"/>
    <w:lvl w:ilvl="0" w:tplc="04269EE6">
      <w:start w:val="1"/>
      <w:numFmt w:val="bullet"/>
      <w:lvlText w:val=""/>
      <w:lvlJc w:val="left"/>
      <w:pPr>
        <w:ind w:left="766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7772D7F"/>
    <w:multiLevelType w:val="hybridMultilevel"/>
    <w:tmpl w:val="0586441E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D5670"/>
    <w:multiLevelType w:val="hybridMultilevel"/>
    <w:tmpl w:val="C1CE74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E7EA0"/>
    <w:multiLevelType w:val="hybridMultilevel"/>
    <w:tmpl w:val="1764DBD2"/>
    <w:lvl w:ilvl="0" w:tplc="1B16993C">
      <w:start w:val="1"/>
      <w:numFmt w:val="bullet"/>
      <w:suff w:val="nothing"/>
      <w:lvlText w:val=""/>
      <w:lvlJc w:val="left"/>
      <w:pPr>
        <w:ind w:left="172" w:hanging="17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4765"/>
    <w:multiLevelType w:val="hybridMultilevel"/>
    <w:tmpl w:val="F606EDC4"/>
    <w:lvl w:ilvl="0" w:tplc="570E4892">
      <w:start w:val="1"/>
      <w:numFmt w:val="bullet"/>
      <w:suff w:val="nothing"/>
      <w:lvlText w:val=""/>
      <w:lvlJc w:val="left"/>
      <w:pPr>
        <w:ind w:left="172" w:hanging="172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5FE4054B"/>
    <w:multiLevelType w:val="hybridMultilevel"/>
    <w:tmpl w:val="FFFFFFFF"/>
    <w:lvl w:ilvl="0" w:tplc="48404BF6">
      <w:start w:val="1"/>
      <w:numFmt w:val="decimal"/>
      <w:suff w:val="space"/>
      <w:lvlText w:val="%1)"/>
      <w:lvlJc w:val="left"/>
      <w:pPr>
        <w:ind w:left="84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0" w15:restartNumberingAfterBreak="0">
    <w:nsid w:val="66B04117"/>
    <w:multiLevelType w:val="hybridMultilevel"/>
    <w:tmpl w:val="1B18C4E2"/>
    <w:lvl w:ilvl="0" w:tplc="170A4E08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7440"/>
    <w:multiLevelType w:val="hybridMultilevel"/>
    <w:tmpl w:val="FD846452"/>
    <w:lvl w:ilvl="0" w:tplc="04250001">
      <w:start w:val="1"/>
      <w:numFmt w:val="bullet"/>
      <w:lvlText w:val=""/>
      <w:lvlJc w:val="left"/>
      <w:pPr>
        <w:ind w:left="652" w:hanging="17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3D4665"/>
    <w:multiLevelType w:val="hybridMultilevel"/>
    <w:tmpl w:val="FFFFFFFF"/>
    <w:lvl w:ilvl="0" w:tplc="4F84E926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 w15:restartNumberingAfterBreak="0">
    <w:nsid w:val="716743E6"/>
    <w:multiLevelType w:val="hybridMultilevel"/>
    <w:tmpl w:val="A08E0626"/>
    <w:lvl w:ilvl="0" w:tplc="FFEA624A">
      <w:start w:val="1"/>
      <w:numFmt w:val="bullet"/>
      <w:suff w:val="nothing"/>
      <w:lvlText w:val=""/>
      <w:lvlJc w:val="left"/>
      <w:pPr>
        <w:ind w:left="340" w:firstLine="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96BE0"/>
    <w:multiLevelType w:val="hybridMultilevel"/>
    <w:tmpl w:val="37EA708A"/>
    <w:lvl w:ilvl="0" w:tplc="E3445A1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1170E"/>
    <w:multiLevelType w:val="hybridMultilevel"/>
    <w:tmpl w:val="FB745762"/>
    <w:lvl w:ilvl="0" w:tplc="C2168082">
      <w:start w:val="1"/>
      <w:numFmt w:val="bullet"/>
      <w:suff w:val="nothing"/>
      <w:lvlText w:val=""/>
      <w:lvlJc w:val="left"/>
      <w:pPr>
        <w:ind w:left="207" w:hanging="207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C50C3"/>
    <w:multiLevelType w:val="hybridMultilevel"/>
    <w:tmpl w:val="FFFFFFFF"/>
    <w:lvl w:ilvl="0" w:tplc="DFD805A6">
      <w:start w:val="3"/>
      <w:numFmt w:val="decimal"/>
      <w:suff w:val="space"/>
      <w:lvlText w:val="(%1)"/>
      <w:lvlJc w:val="left"/>
      <w:pPr>
        <w:ind w:left="644" w:hanging="360"/>
      </w:pPr>
      <w:rPr>
        <w:rFonts w:asciiTheme="majorHAnsi" w:eastAsia="Times New Roman" w:hAnsiTheme="majorHAnsi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95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67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39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11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83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55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27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5994" w:hanging="180"/>
      </w:pPr>
      <w:rPr>
        <w:rFonts w:cs="Times New Roman"/>
      </w:rPr>
    </w:lvl>
  </w:abstractNum>
  <w:abstractNum w:abstractNumId="27" w15:restartNumberingAfterBreak="0">
    <w:nsid w:val="7B720669"/>
    <w:multiLevelType w:val="hybridMultilevel"/>
    <w:tmpl w:val="212C06DC"/>
    <w:lvl w:ilvl="0" w:tplc="04269EE6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66CB"/>
    <w:multiLevelType w:val="hybridMultilevel"/>
    <w:tmpl w:val="897CC93A"/>
    <w:lvl w:ilvl="0" w:tplc="042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7E07320D"/>
    <w:multiLevelType w:val="hybridMultilevel"/>
    <w:tmpl w:val="01EC0E20"/>
    <w:lvl w:ilvl="0" w:tplc="22129636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5585">
    <w:abstractNumId w:val="15"/>
  </w:num>
  <w:num w:numId="2" w16cid:durableId="1736246114">
    <w:abstractNumId w:val="24"/>
  </w:num>
  <w:num w:numId="3" w16cid:durableId="2073455985">
    <w:abstractNumId w:val="16"/>
  </w:num>
  <w:num w:numId="4" w16cid:durableId="930285080">
    <w:abstractNumId w:val="27"/>
  </w:num>
  <w:num w:numId="5" w16cid:durableId="736509697">
    <w:abstractNumId w:val="14"/>
  </w:num>
  <w:num w:numId="6" w16cid:durableId="644702820">
    <w:abstractNumId w:val="22"/>
  </w:num>
  <w:num w:numId="7" w16cid:durableId="961112141">
    <w:abstractNumId w:val="13"/>
  </w:num>
  <w:num w:numId="8" w16cid:durableId="1957633345">
    <w:abstractNumId w:val="9"/>
  </w:num>
  <w:num w:numId="9" w16cid:durableId="1152067134">
    <w:abstractNumId w:val="4"/>
  </w:num>
  <w:num w:numId="10" w16cid:durableId="1621954203">
    <w:abstractNumId w:val="19"/>
  </w:num>
  <w:num w:numId="11" w16cid:durableId="1182283074">
    <w:abstractNumId w:val="0"/>
  </w:num>
  <w:num w:numId="12" w16cid:durableId="13264437">
    <w:abstractNumId w:val="26"/>
  </w:num>
  <w:num w:numId="13" w16cid:durableId="1260259557">
    <w:abstractNumId w:val="28"/>
  </w:num>
  <w:num w:numId="14" w16cid:durableId="604266159">
    <w:abstractNumId w:val="7"/>
  </w:num>
  <w:num w:numId="15" w16cid:durableId="226231981">
    <w:abstractNumId w:val="11"/>
  </w:num>
  <w:num w:numId="16" w16cid:durableId="65610278">
    <w:abstractNumId w:val="8"/>
  </w:num>
  <w:num w:numId="17" w16cid:durableId="102192204">
    <w:abstractNumId w:val="5"/>
  </w:num>
  <w:num w:numId="18" w16cid:durableId="371617864">
    <w:abstractNumId w:val="10"/>
  </w:num>
  <w:num w:numId="19" w16cid:durableId="1019088208">
    <w:abstractNumId w:val="23"/>
  </w:num>
  <w:num w:numId="20" w16cid:durableId="1073161846">
    <w:abstractNumId w:val="12"/>
  </w:num>
  <w:num w:numId="21" w16cid:durableId="1606422214">
    <w:abstractNumId w:val="25"/>
  </w:num>
  <w:num w:numId="22" w16cid:durableId="1696537430">
    <w:abstractNumId w:val="20"/>
  </w:num>
  <w:num w:numId="23" w16cid:durableId="1608006815">
    <w:abstractNumId w:val="18"/>
  </w:num>
  <w:num w:numId="24" w16cid:durableId="1537306185">
    <w:abstractNumId w:val="29"/>
  </w:num>
  <w:num w:numId="25" w16cid:durableId="364798378">
    <w:abstractNumId w:val="17"/>
  </w:num>
  <w:num w:numId="26" w16cid:durableId="1271427418">
    <w:abstractNumId w:val="21"/>
  </w:num>
  <w:num w:numId="27" w16cid:durableId="1309631234">
    <w:abstractNumId w:val="3"/>
  </w:num>
  <w:num w:numId="28" w16cid:durableId="289751484">
    <w:abstractNumId w:val="1"/>
  </w:num>
  <w:num w:numId="29" w16cid:durableId="2029478184">
    <w:abstractNumId w:val="2"/>
  </w:num>
  <w:num w:numId="30" w16cid:durableId="535196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4"/>
    <w:rsid w:val="00010006"/>
    <w:rsid w:val="00017D3D"/>
    <w:rsid w:val="00026A82"/>
    <w:rsid w:val="00033371"/>
    <w:rsid w:val="00073D91"/>
    <w:rsid w:val="000A2486"/>
    <w:rsid w:val="00130A5A"/>
    <w:rsid w:val="00152EDE"/>
    <w:rsid w:val="00154AC6"/>
    <w:rsid w:val="0015653F"/>
    <w:rsid w:val="00165523"/>
    <w:rsid w:val="0018142B"/>
    <w:rsid w:val="00192E96"/>
    <w:rsid w:val="001A17A1"/>
    <w:rsid w:val="001B6D01"/>
    <w:rsid w:val="001C21D6"/>
    <w:rsid w:val="001E4EA0"/>
    <w:rsid w:val="00204E7E"/>
    <w:rsid w:val="002714BD"/>
    <w:rsid w:val="002728F8"/>
    <w:rsid w:val="0027747E"/>
    <w:rsid w:val="00290EEB"/>
    <w:rsid w:val="002C7A00"/>
    <w:rsid w:val="002D648D"/>
    <w:rsid w:val="002E59F6"/>
    <w:rsid w:val="002E6DFD"/>
    <w:rsid w:val="002E7D55"/>
    <w:rsid w:val="0030008B"/>
    <w:rsid w:val="00310248"/>
    <w:rsid w:val="003576F9"/>
    <w:rsid w:val="003A5FE7"/>
    <w:rsid w:val="003C0AC6"/>
    <w:rsid w:val="003C23A0"/>
    <w:rsid w:val="004178A7"/>
    <w:rsid w:val="00442BBC"/>
    <w:rsid w:val="004D3BA1"/>
    <w:rsid w:val="004E3F72"/>
    <w:rsid w:val="004F0BE3"/>
    <w:rsid w:val="004F2E54"/>
    <w:rsid w:val="00506DD5"/>
    <w:rsid w:val="00506F49"/>
    <w:rsid w:val="005133CB"/>
    <w:rsid w:val="005D2147"/>
    <w:rsid w:val="005E10CA"/>
    <w:rsid w:val="006203E2"/>
    <w:rsid w:val="00655F4E"/>
    <w:rsid w:val="00672A00"/>
    <w:rsid w:val="00676071"/>
    <w:rsid w:val="00681E1A"/>
    <w:rsid w:val="006D1AB2"/>
    <w:rsid w:val="007257AB"/>
    <w:rsid w:val="00756749"/>
    <w:rsid w:val="007736C1"/>
    <w:rsid w:val="00776DA5"/>
    <w:rsid w:val="00791B25"/>
    <w:rsid w:val="007C542E"/>
    <w:rsid w:val="007E79EF"/>
    <w:rsid w:val="007F49FC"/>
    <w:rsid w:val="0081476D"/>
    <w:rsid w:val="00822236"/>
    <w:rsid w:val="0088539A"/>
    <w:rsid w:val="008F07BF"/>
    <w:rsid w:val="008F608D"/>
    <w:rsid w:val="009362F9"/>
    <w:rsid w:val="00973B43"/>
    <w:rsid w:val="00977F6A"/>
    <w:rsid w:val="009A0E74"/>
    <w:rsid w:val="009D536D"/>
    <w:rsid w:val="00A06FEB"/>
    <w:rsid w:val="00AA4A9C"/>
    <w:rsid w:val="00AD01BC"/>
    <w:rsid w:val="00B17627"/>
    <w:rsid w:val="00B263B8"/>
    <w:rsid w:val="00B302FD"/>
    <w:rsid w:val="00B6487A"/>
    <w:rsid w:val="00B8673C"/>
    <w:rsid w:val="00BE7788"/>
    <w:rsid w:val="00C85BA1"/>
    <w:rsid w:val="00CA016E"/>
    <w:rsid w:val="00CC27E3"/>
    <w:rsid w:val="00CF4311"/>
    <w:rsid w:val="00D100F4"/>
    <w:rsid w:val="00D1478C"/>
    <w:rsid w:val="00D40B11"/>
    <w:rsid w:val="00D65083"/>
    <w:rsid w:val="00DA51E2"/>
    <w:rsid w:val="00E104FD"/>
    <w:rsid w:val="00E21BCD"/>
    <w:rsid w:val="00E34F2D"/>
    <w:rsid w:val="00E43F47"/>
    <w:rsid w:val="00E90CEF"/>
    <w:rsid w:val="00EA2FCD"/>
    <w:rsid w:val="00F70F44"/>
    <w:rsid w:val="00F833E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70D1"/>
  <w15:chartTrackingRefBased/>
  <w15:docId w15:val="{F02AC885-F146-46AB-8814-A1074ACF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2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2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2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2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2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2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2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2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F2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2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2E5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2E5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2E5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2E5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2E5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2E5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2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2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2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2E5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2E5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2E5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2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2E5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2E5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F2E5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F2E54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4E3F72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39"/>
    <w:rsid w:val="00F7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D01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D01B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D01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01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0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 Klimberg</dc:creator>
  <cp:keywords/>
  <dc:description/>
  <cp:lastModifiedBy>Briti Klimberg</cp:lastModifiedBy>
  <cp:revision>3</cp:revision>
  <dcterms:created xsi:type="dcterms:W3CDTF">2025-03-20T11:37:00Z</dcterms:created>
  <dcterms:modified xsi:type="dcterms:W3CDTF">2025-03-20T12:31:00Z</dcterms:modified>
</cp:coreProperties>
</file>